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>宫腹腔镜项目</w:t>
      </w:r>
    </w:p>
    <w:p>
      <w:pPr>
        <w:jc w:val="center"/>
        <w:rPr>
          <w:b/>
          <w:color w:val="FF0000"/>
          <w:sz w:val="30"/>
          <w:szCs w:val="30"/>
        </w:rPr>
      </w:pPr>
    </w:p>
    <w:p/>
    <w:p/>
    <w:p/>
    <w:p/>
    <w:p/>
    <w:p/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邀</w:t>
      </w:r>
    </w:p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请</w:t>
      </w:r>
    </w:p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文</w:t>
      </w:r>
    </w:p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件</w:t>
      </w:r>
    </w:p>
    <w:p/>
    <w:p/>
    <w:p/>
    <w:p/>
    <w:p/>
    <w:p/>
    <w:p/>
    <w:p/>
    <w:p/>
    <w:p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中国·河南·南阳</w:t>
      </w:r>
    </w:p>
    <w:p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0"/>
          <w:szCs w:val="30"/>
        </w:rPr>
        <w:t>南 阳 南 石 医 院 编 制</w:t>
      </w:r>
    </w:p>
    <w:p>
      <w:pPr>
        <w:widowControl/>
        <w:spacing w:line="360" w:lineRule="auto"/>
        <w:jc w:val="center"/>
        <w:rPr>
          <w:rFonts w:ascii="宋体" w:hAnsi="宋体" w:cs="Arial"/>
          <w:sz w:val="24"/>
        </w:rPr>
      </w:pPr>
      <w:r>
        <w:rPr>
          <w:rFonts w:hint="eastAsia"/>
          <w:b/>
          <w:sz w:val="30"/>
          <w:szCs w:val="30"/>
        </w:rPr>
        <w:t>202</w:t>
      </w:r>
      <w:r>
        <w:rPr>
          <w:b/>
          <w:sz w:val="30"/>
          <w:szCs w:val="30"/>
        </w:rPr>
        <w:t>3</w:t>
      </w:r>
      <w:r>
        <w:rPr>
          <w:rFonts w:hint="eastAsia"/>
          <w:b/>
          <w:sz w:val="30"/>
          <w:szCs w:val="30"/>
        </w:rPr>
        <w:t>年</w:t>
      </w:r>
      <w:r>
        <w:rPr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月</w:t>
      </w:r>
    </w:p>
    <w:p/>
    <w:p/>
    <w:p/>
    <w:p>
      <w:pPr>
        <w:widowControl/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  <w:lang w:val="zh-CN"/>
        </w:rPr>
        <w:t>目录</w:t>
      </w:r>
    </w:p>
    <w:p>
      <w:pPr>
        <w:pStyle w:val="9"/>
        <w:tabs>
          <w:tab w:val="right" w:leader="dot" w:pos="8296"/>
        </w:tabs>
        <w:spacing w:line="720" w:lineRule="auto"/>
        <w:rPr>
          <w:sz w:val="28"/>
          <w:szCs w:val="28"/>
        </w:rPr>
      </w:pPr>
      <w:r>
        <w:rPr>
          <w:rFonts w:ascii="宋体" w:hAnsi="宋体"/>
          <w:sz w:val="28"/>
          <w:szCs w:val="28"/>
        </w:rPr>
        <w:fldChar w:fldCharType="begin"/>
      </w:r>
      <w:r>
        <w:rPr>
          <w:rFonts w:ascii="宋体" w:hAnsi="宋体"/>
          <w:sz w:val="28"/>
          <w:szCs w:val="28"/>
        </w:rPr>
        <w:instrText xml:space="preserve"> TOC \o "1-1" \h \z \u </w:instrText>
      </w:r>
      <w:r>
        <w:rPr>
          <w:rFonts w:ascii="宋体" w:hAnsi="宋体"/>
          <w:sz w:val="28"/>
          <w:szCs w:val="28"/>
        </w:rPr>
        <w:fldChar w:fldCharType="separate"/>
      </w:r>
      <w:r>
        <w:fldChar w:fldCharType="begin"/>
      </w:r>
      <w:r>
        <w:instrText xml:space="preserve"> HYPERLINK \l "_Toc33522300" </w:instrText>
      </w:r>
      <w:r>
        <w:fldChar w:fldCharType="separate"/>
      </w:r>
      <w:r>
        <w:rPr>
          <w:rStyle w:val="16"/>
          <w:rFonts w:hint="eastAsia" w:ascii="宋体" w:hAnsi="宋体"/>
          <w:b/>
          <w:sz w:val="28"/>
          <w:szCs w:val="28"/>
        </w:rPr>
        <w:t>第一部分：所需</w:t>
      </w:r>
      <w:r>
        <w:rPr>
          <w:rStyle w:val="16"/>
          <w:rFonts w:ascii="宋体" w:hAnsi="宋体"/>
          <w:b/>
          <w:sz w:val="28"/>
          <w:szCs w:val="28"/>
        </w:rPr>
        <w:t>资质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end"/>
      </w:r>
      <w:r>
        <w:rPr>
          <w:rStyle w:val="16"/>
          <w:sz w:val="28"/>
          <w:szCs w:val="28"/>
        </w:rPr>
        <w:t>3</w:t>
      </w:r>
    </w:p>
    <w:p>
      <w:pPr>
        <w:pStyle w:val="9"/>
        <w:tabs>
          <w:tab w:val="right" w:leader="dot" w:pos="8296"/>
        </w:tabs>
        <w:spacing w:line="720" w:lineRule="auto"/>
        <w:rPr>
          <w:sz w:val="28"/>
          <w:szCs w:val="28"/>
        </w:rPr>
      </w:pPr>
      <w:r>
        <w:fldChar w:fldCharType="begin"/>
      </w:r>
      <w:r>
        <w:instrText xml:space="preserve"> HYPERLINK \l "_Toc33522301" </w:instrText>
      </w:r>
      <w:r>
        <w:fldChar w:fldCharType="separate"/>
      </w:r>
      <w:r>
        <w:rPr>
          <w:rStyle w:val="16"/>
          <w:rFonts w:hint="eastAsia" w:ascii="宋体" w:hAnsi="宋体"/>
          <w:b/>
          <w:sz w:val="28"/>
          <w:szCs w:val="28"/>
        </w:rPr>
        <w:t>第二部分：技术参数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end"/>
      </w:r>
      <w:r>
        <w:rPr>
          <w:rStyle w:val="16"/>
          <w:sz w:val="28"/>
          <w:szCs w:val="28"/>
        </w:rPr>
        <w:t>4</w:t>
      </w:r>
    </w:p>
    <w:p>
      <w:pPr>
        <w:spacing w:line="720" w:lineRule="auto"/>
        <w:rPr>
          <w:rFonts w:ascii="宋体" w:hAnsi="宋体"/>
          <w:sz w:val="24"/>
        </w:rPr>
      </w:pPr>
      <w:r>
        <w:rPr>
          <w:rFonts w:ascii="宋体" w:hAnsi="宋体"/>
          <w:sz w:val="28"/>
          <w:szCs w:val="28"/>
        </w:rPr>
        <w:fldChar w:fldCharType="end"/>
      </w:r>
    </w:p>
    <w:p/>
    <w:p/>
    <w:p/>
    <w:p>
      <w:r>
        <w:rPr>
          <w:rFonts w:hint="eastAsia"/>
        </w:rPr>
        <w:t>、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</w:pPr>
      <w:r>
        <w:br w:type="page"/>
      </w:r>
    </w:p>
    <w:p/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第一部分：所需内容</w:t>
      </w:r>
    </w:p>
    <w:p>
      <w:pPr>
        <w:pStyle w:val="17"/>
        <w:ind w:left="360" w:firstLine="0" w:firstLineChars="0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一、资质</w:t>
      </w:r>
      <w:r>
        <w:rPr>
          <w:rFonts w:asciiTheme="minorEastAsia" w:hAnsiTheme="minorEastAsia" w:eastAsiaTheme="minorEastAsia"/>
          <w:b/>
          <w:sz w:val="28"/>
          <w:szCs w:val="28"/>
        </w:rPr>
        <w:t>：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产品的合法代理商授权和</w:t>
      </w:r>
      <w:r>
        <w:rPr>
          <w:rFonts w:cs="Arial" w:asciiTheme="minorEastAsia" w:hAnsiTheme="minorEastAsia" w:eastAsiaTheme="minorEastAsia"/>
          <w:sz w:val="28"/>
          <w:szCs w:val="28"/>
        </w:rPr>
        <w:t>《医疗器械注册证》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企业法人委托书，法定代表人或其委托代表人身份证复印件，经营公司资质（包含企业营业执照、经营许可证、备案凭证等）；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生产厂家资质（包含企业营业执照、经营许可证、生产许可证、备案凭证等）；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反商业贿赂承诺书；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产品介绍及相关资料；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近期签订同类产品合同两份；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一般纳税人证明；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该设备的</w:t>
      </w:r>
      <w:r>
        <w:rPr>
          <w:rFonts w:cs="Arial" w:asciiTheme="minorEastAsia" w:hAnsiTheme="minorEastAsia" w:eastAsiaTheme="minorEastAsia"/>
          <w:sz w:val="28"/>
          <w:szCs w:val="28"/>
        </w:rPr>
        <w:t>三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甲</w:t>
      </w:r>
      <w:r>
        <w:rPr>
          <w:rFonts w:cs="Arial" w:asciiTheme="minorEastAsia" w:hAnsiTheme="minorEastAsia" w:eastAsiaTheme="minorEastAsia"/>
          <w:sz w:val="28"/>
          <w:szCs w:val="28"/>
        </w:rPr>
        <w:t>医院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部分</w:t>
      </w:r>
      <w:r>
        <w:rPr>
          <w:rFonts w:cs="Arial" w:asciiTheme="minorEastAsia" w:hAnsiTheme="minorEastAsia" w:eastAsiaTheme="minorEastAsia"/>
          <w:sz w:val="28"/>
          <w:szCs w:val="28"/>
        </w:rPr>
        <w:t>名单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若为进口产品</w:t>
      </w:r>
      <w:r>
        <w:rPr>
          <w:rFonts w:cs="Arial" w:asciiTheme="minorEastAsia" w:hAnsiTheme="minorEastAsia" w:eastAsiaTheme="minorEastAsia"/>
          <w:sz w:val="28"/>
          <w:szCs w:val="28"/>
        </w:rPr>
        <w:t>必须附有《医疗器械注册证书》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、报关单等</w:t>
      </w:r>
      <w:r>
        <w:rPr>
          <w:rFonts w:cs="Arial" w:asciiTheme="minorEastAsia" w:hAnsiTheme="minorEastAsia" w:eastAsiaTheme="minorEastAsia"/>
          <w:sz w:val="28"/>
          <w:szCs w:val="28"/>
        </w:rPr>
        <w:t>资料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。</w:t>
      </w:r>
      <w:r>
        <w:rPr>
          <w:rFonts w:cs="Arial" w:asciiTheme="minorEastAsia" w:hAnsiTheme="minorEastAsia" w:eastAsiaTheme="minorEastAsia"/>
          <w:sz w:val="28"/>
          <w:szCs w:val="28"/>
        </w:rPr>
        <w:t>（以上证件复印件加盖企业原印章）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。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cs="Arial" w:asciiTheme="minorEastAsia" w:hAnsiTheme="minorEastAsia" w:eastAsiaTheme="minorEastAsia"/>
          <w:sz w:val="28"/>
          <w:szCs w:val="28"/>
        </w:rPr>
        <w:t>提供的产品是符合国家标准、行业标准和注册产品标准的合格品，附有合格证。</w:t>
      </w:r>
    </w:p>
    <w:p>
      <w:pPr>
        <w:pStyle w:val="17"/>
        <w:numPr>
          <w:ilvl w:val="0"/>
          <w:numId w:val="1"/>
        </w:numPr>
        <w:ind w:left="780" w:firstLineChars="0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设备详细的配置清单，技术参数及技术偏离表。</w:t>
      </w:r>
    </w:p>
    <w:p>
      <w:pPr>
        <w:pStyle w:val="17"/>
        <w:numPr>
          <w:ilvl w:val="0"/>
          <w:numId w:val="1"/>
        </w:numPr>
        <w:ind w:left="780" w:firstLineChars="0"/>
        <w:jc w:val="left"/>
        <w:rPr>
          <w:rFonts w:cs="Arial" w:asciiTheme="minorEastAsia" w:hAnsiTheme="minorEastAsia" w:eastAsiaTheme="minorEastAsia"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以上资料一式三份（请做目录），用拉杆夹封住即可，不需密封，资料不得显示终端用户，</w:t>
      </w:r>
      <w:r>
        <w:rPr>
          <w:rFonts w:hint="eastAsia" w:cs="Arial" w:asciiTheme="minorEastAsia" w:hAnsiTheme="minorEastAsia" w:eastAsiaTheme="minorEastAsia"/>
          <w:b/>
          <w:sz w:val="28"/>
          <w:szCs w:val="28"/>
        </w:rPr>
        <w:t>报价单需要单独密封装订。</w:t>
      </w: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asciiTheme="minorEastAsia" w:hAnsiTheme="minorEastAsia" w:eastAsiaTheme="minorEastAsia"/>
          <w:b/>
          <w:sz w:val="28"/>
          <w:szCs w:val="28"/>
        </w:rPr>
        <w:br w:type="page"/>
      </w:r>
    </w:p>
    <w:p>
      <w:pPr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二</w:t>
      </w:r>
      <w:r>
        <w:rPr>
          <w:rFonts w:asciiTheme="minorEastAsia" w:hAnsiTheme="minorEastAsia" w:eastAsiaTheme="minorEastAsia"/>
          <w:b/>
          <w:sz w:val="28"/>
          <w:szCs w:val="28"/>
        </w:rPr>
        <w:t>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设备</w:t>
      </w:r>
      <w:r>
        <w:rPr>
          <w:rFonts w:asciiTheme="minorEastAsia" w:hAnsiTheme="minorEastAsia" w:eastAsiaTheme="minorEastAsia"/>
          <w:b/>
          <w:sz w:val="28"/>
          <w:szCs w:val="28"/>
        </w:rPr>
        <w:t>参数及需求：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请把贵公司符合本次要求的宫腹腔镜进行报价，具体要求如下：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一、摄像主机一台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1、HDTV数字高清图像处理主机，可实现1080P高画质输出；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2、可兼容5mm和10mm高清腹腔镜及胆道镜，提高设备使用率；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3、具有画中画和索引功能，可有效提高观察效果；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4、电子信号输出：可选择 HD-SDI（SMPTE292M) SD-SDI（SMPTE259M)和DVI(WUXGA 1080P )多种高清输出模式；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5、具有特殊光成像功能,在宫腔镜检查或电切手术时有助于提高血管和粘膜之间的对比度；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6、有自动增益控制功能:内镜距目标较远光线不足时，可对画面电子放大；有图像结构增强功能；图像冻结功能；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二、高清摄像头一个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1、HD高清摄像头，具有手柄遥控按键，可跟据操作者需要设在任一按键上。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2、超轻及人体工程学设计。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三、氙灯冷光源一台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1、300W短弧氙灯，持续使用≥500小时；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2、双灯设计 ，备用应急灯；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3、内置应急灯寿命≥480 H；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 、可自动检测灯泡寿命；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5、自动亮度调节方法：伺服光圈方式；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6 、具备特殊光观察模式；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7、导光束一条，可高温高压灭菌。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四、膨宫机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1、腔镜灌注泵为开放式加压装置，在手术过程中液体介质及清洗液简单方便；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2、采用步进电机驱动运行，设备运行时平稳、噪声小；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3、工作压力及流量由电脑自动控制，过压时电脑将自动切断电源停止工作；当压力回复正常时仪器将自动进入正常工作状态，控制装置安全可靠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4、具有记忆能力，开机时显示上次设定的压力和流量值。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五、宫腔检查镜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1、光学试管1个：3 mm, 30 °视野方向，可高温高压灭菌；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2、管鞘1个：带器械管道，可下器械做通液手术；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六、高频电刀 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1、有生理盐水模式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2、多种输出功能：单极电切、生理盐水切割模式、双极电凝等；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3、单极电切功率≤300W，电凝功率≤200W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4、双极电切功率≤100W，电凝功率≤120W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5、双极生理盐水下电切功率≤320W，电凝功率≤200W；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七、宫腔电切镜 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1、光学试管1个：4 mm, 12 °视野方向，可高温高压灭菌。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2、在生理盐水环境下进行宫腔电切手术。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3、配有可在生理盐水下使用的环形电极，球型电极，针型电极满足各种手术的需要。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八、4K医用监视器 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1、≥27英寸，4K医用监视器，分辨率≥4096*2160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2、配备高清输入和输出端口；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九、腔镜仪器专用台车 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1、高级仪器台车层分拆式；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2、配电源插板，监视器悬挂装置。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十、配套图文工作站  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1、可打印病历采集图片；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2、运行多部内窥镜软件；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3、可实时采集图片及刻录手术视频。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十、高清腹腔镜一条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1、视野方向30°，10mm高清腹腔镜；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2、蓝宝石纯平面透镜透光均匀、清晰，高科技纳米合金镜体最前端镀金设计更耐摩擦；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3、镜体采用高科技合金材料，超广角设计，整体可高温高压灭菌；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十一、气腹机一台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1、流量≥30L/MIN供气量。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2、带加热功能，可对输出气体进行加热。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3、含成人模式、儿童模式多种模式，便于适用于多种病人群体手术。</w:t>
      </w:r>
    </w:p>
    <w:p>
      <w:pPr>
        <w:ind w:firstLine="551" w:firstLineChars="196"/>
        <w:rPr>
          <w:rFonts w:ascii="宋体" w:hAnsi="宋体"/>
          <w:b/>
          <w:bCs/>
          <w:sz w:val="28"/>
          <w:szCs w:val="28"/>
        </w:rPr>
      </w:pPr>
    </w:p>
    <w:p>
      <w:pPr>
        <w:ind w:firstLine="630" w:firstLineChars="196"/>
        <w:rPr>
          <w:b/>
          <w:bCs/>
          <w:sz w:val="32"/>
          <w:szCs w:val="32"/>
        </w:rPr>
      </w:pPr>
    </w:p>
    <w:p>
      <w:pPr>
        <w:ind w:firstLine="630" w:firstLineChars="196"/>
        <w:rPr>
          <w:b/>
          <w:bCs/>
          <w:sz w:val="32"/>
          <w:szCs w:val="32"/>
        </w:rPr>
      </w:pPr>
    </w:p>
    <w:p>
      <w:pPr>
        <w:ind w:firstLine="630" w:firstLineChars="196"/>
        <w:rPr>
          <w:b/>
          <w:bCs/>
          <w:sz w:val="32"/>
          <w:szCs w:val="32"/>
        </w:rPr>
      </w:pPr>
    </w:p>
    <w:p>
      <w:pPr>
        <w:ind w:firstLine="630" w:firstLineChars="196"/>
        <w:rPr>
          <w:b/>
          <w:bCs/>
          <w:sz w:val="32"/>
          <w:szCs w:val="32"/>
        </w:rPr>
      </w:pPr>
    </w:p>
    <w:p>
      <w:pPr>
        <w:ind w:firstLine="630" w:firstLineChars="196"/>
        <w:rPr>
          <w:b/>
          <w:bCs/>
          <w:sz w:val="32"/>
          <w:szCs w:val="32"/>
        </w:rPr>
      </w:pPr>
    </w:p>
    <w:p>
      <w:pPr>
        <w:ind w:firstLine="630" w:firstLineChars="196"/>
        <w:rPr>
          <w:b/>
          <w:bCs/>
          <w:sz w:val="32"/>
          <w:szCs w:val="32"/>
        </w:rPr>
      </w:pPr>
    </w:p>
    <w:p>
      <w:pPr>
        <w:ind w:firstLine="630" w:firstLineChars="196"/>
        <w:rPr>
          <w:b/>
          <w:bCs/>
          <w:sz w:val="32"/>
          <w:szCs w:val="32"/>
        </w:rPr>
      </w:pPr>
    </w:p>
    <w:p>
      <w:pPr>
        <w:ind w:firstLine="630" w:firstLineChars="196"/>
        <w:rPr>
          <w:b/>
          <w:bCs/>
          <w:sz w:val="32"/>
          <w:szCs w:val="32"/>
        </w:rPr>
      </w:pPr>
    </w:p>
    <w:p>
      <w:pPr>
        <w:ind w:firstLine="630" w:firstLineChars="196"/>
        <w:rPr>
          <w:b/>
          <w:bCs/>
          <w:sz w:val="32"/>
          <w:szCs w:val="32"/>
        </w:rPr>
      </w:pPr>
    </w:p>
    <w:p>
      <w:pPr>
        <w:ind w:firstLine="630" w:firstLineChars="196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以上所述功能及参数无任何针对性、倾向性和排他性，因市场了解的局限性，可能存在某些不足，仅作为设备市场调研参考所用。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br w:type="page"/>
      </w:r>
    </w:p>
    <w:p>
      <w:pPr>
        <w:adjustRightInd w:val="0"/>
        <w:jc w:val="left"/>
        <w:rPr>
          <w:rFonts w:ascii="Arial" w:hAnsi="Arial" w:cs="Arial"/>
          <w:b/>
          <w:bCs/>
          <w:kern w:val="24"/>
          <w:sz w:val="32"/>
          <w:szCs w:val="32"/>
        </w:rPr>
      </w:pPr>
      <w:r>
        <w:rPr>
          <w:rFonts w:ascii="Arial" w:hAnsi="Arial" w:cs="Arial"/>
          <w:b/>
          <w:bCs/>
          <w:kern w:val="24"/>
          <w:sz w:val="32"/>
          <w:szCs w:val="32"/>
          <w:lang w:val="zh-CN"/>
        </w:rPr>
        <w:t>附件</w:t>
      </w:r>
      <w:r>
        <w:rPr>
          <w:rFonts w:hint="eastAsia" w:ascii="Arial" w:hAnsi="Arial" w:cs="Arial"/>
          <w:b/>
          <w:bCs/>
          <w:kern w:val="24"/>
          <w:sz w:val="32"/>
          <w:szCs w:val="32"/>
        </w:rPr>
        <w:t>：</w:t>
      </w:r>
    </w:p>
    <w:p>
      <w:pPr>
        <w:widowControl/>
        <w:jc w:val="left"/>
        <w:rPr>
          <w:rFonts w:ascii="Arial" w:hAnsi="Arial" w:cs="Arial"/>
          <w:b/>
          <w:bCs/>
          <w:kern w:val="24"/>
          <w:sz w:val="32"/>
          <w:szCs w:val="32"/>
          <w:lang w:val="zh-CN"/>
        </w:rPr>
      </w:pPr>
      <w:r>
        <w:rPr>
          <w:rFonts w:hint="eastAsia" w:ascii="Arial" w:hAnsi="Arial" w:cs="Arial"/>
          <w:b/>
          <w:bCs/>
          <w:kern w:val="24"/>
          <w:sz w:val="32"/>
          <w:szCs w:val="32"/>
          <w:lang w:val="zh-CN"/>
        </w:rPr>
        <w:t>售后承诺：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1、售后服务保障措施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2、质量保证承诺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3、保修内容与范围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4、故障和维修响应时间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5、质保期限及期限内的服务方案(含维修保养）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6、保修期外的服务方案和定期巡检措施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7、应急维修措施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8、备品备件配备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投标文件递交及联系方式：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投标截止时间：自发布之日起10天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投标地点：南阳南石医院采购部办公室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联系人：曲老师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联系电话：0377-61558280</w:t>
      </w:r>
    </w:p>
    <w:p>
      <w:pPr>
        <w:rPr>
          <w:rFonts w:hint="eastAsia"/>
          <w:sz w:val="32"/>
          <w:szCs w:val="32"/>
        </w:rPr>
      </w:pPr>
      <w:bookmarkStart w:id="0" w:name="_GoBack"/>
      <w:bookmarkEnd w:id="0"/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b/>
        <w:bCs/>
        <w:sz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</w:rPr>
      <w:fldChar w:fldCharType="separate"/>
    </w:r>
    <w:r>
      <w:rPr>
        <w:b/>
        <w:bCs/>
      </w:rPr>
      <w:t>9</w:t>
    </w:r>
    <w:r>
      <w:rPr>
        <w:b/>
        <w:bCs/>
        <w:sz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</w:rPr>
      <w:fldChar w:fldCharType="separate"/>
    </w:r>
    <w:r>
      <w:rPr>
        <w:b/>
        <w:bCs/>
      </w:rPr>
      <w:t>9</w:t>
    </w:r>
    <w:r>
      <w:rPr>
        <w:b/>
        <w:bCs/>
        <w:sz w:val="24"/>
      </w:rPr>
      <w:fldChar w:fldCharType="end"/>
    </w:r>
  </w:p>
  <w:p>
    <w:pPr>
      <w:pStyle w:val="7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FE344F"/>
    <w:multiLevelType w:val="multilevel"/>
    <w:tmpl w:val="1AFE344F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cs="Arial"/>
        <w:b w:val="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FjNzc1NjcxN2M4OGYyYWNlMWU2NzdkZTNkOTZkYTUifQ=="/>
  </w:docVars>
  <w:rsids>
    <w:rsidRoot w:val="0007576A"/>
    <w:rsid w:val="0000327D"/>
    <w:rsid w:val="0002136E"/>
    <w:rsid w:val="00022D2C"/>
    <w:rsid w:val="00045580"/>
    <w:rsid w:val="0007576A"/>
    <w:rsid w:val="000A052D"/>
    <w:rsid w:val="000D04B8"/>
    <w:rsid w:val="000D30E7"/>
    <w:rsid w:val="000E3B2C"/>
    <w:rsid w:val="000E6F25"/>
    <w:rsid w:val="000F4EBE"/>
    <w:rsid w:val="000F7360"/>
    <w:rsid w:val="00100B4B"/>
    <w:rsid w:val="001340FD"/>
    <w:rsid w:val="00137DAC"/>
    <w:rsid w:val="00137EB2"/>
    <w:rsid w:val="001440FB"/>
    <w:rsid w:val="00147F7A"/>
    <w:rsid w:val="00155849"/>
    <w:rsid w:val="00157A07"/>
    <w:rsid w:val="00160441"/>
    <w:rsid w:val="00160F98"/>
    <w:rsid w:val="00161EFD"/>
    <w:rsid w:val="00174BD5"/>
    <w:rsid w:val="00182A48"/>
    <w:rsid w:val="00187188"/>
    <w:rsid w:val="00192F50"/>
    <w:rsid w:val="00197FA4"/>
    <w:rsid w:val="001B3378"/>
    <w:rsid w:val="001B49E3"/>
    <w:rsid w:val="001D09C2"/>
    <w:rsid w:val="001F1E70"/>
    <w:rsid w:val="001F6D0B"/>
    <w:rsid w:val="001F72B2"/>
    <w:rsid w:val="0023384F"/>
    <w:rsid w:val="00235241"/>
    <w:rsid w:val="0024105B"/>
    <w:rsid w:val="002557CD"/>
    <w:rsid w:val="00272694"/>
    <w:rsid w:val="002771E5"/>
    <w:rsid w:val="00283D09"/>
    <w:rsid w:val="00290620"/>
    <w:rsid w:val="002959A4"/>
    <w:rsid w:val="002A04FB"/>
    <w:rsid w:val="002A36E7"/>
    <w:rsid w:val="002B6E43"/>
    <w:rsid w:val="002C22B5"/>
    <w:rsid w:val="002C708E"/>
    <w:rsid w:val="002D1A0A"/>
    <w:rsid w:val="002D3B86"/>
    <w:rsid w:val="002D7BE6"/>
    <w:rsid w:val="002E4C60"/>
    <w:rsid w:val="0031196B"/>
    <w:rsid w:val="00327CE0"/>
    <w:rsid w:val="003337B2"/>
    <w:rsid w:val="00366C14"/>
    <w:rsid w:val="0037313A"/>
    <w:rsid w:val="00374112"/>
    <w:rsid w:val="00383557"/>
    <w:rsid w:val="00384066"/>
    <w:rsid w:val="003A5FED"/>
    <w:rsid w:val="003B2D9B"/>
    <w:rsid w:val="003D3876"/>
    <w:rsid w:val="003E5BA6"/>
    <w:rsid w:val="003F2413"/>
    <w:rsid w:val="00403F7F"/>
    <w:rsid w:val="004055A3"/>
    <w:rsid w:val="004231C6"/>
    <w:rsid w:val="00435A01"/>
    <w:rsid w:val="00437938"/>
    <w:rsid w:val="00443649"/>
    <w:rsid w:val="004523FE"/>
    <w:rsid w:val="004811A3"/>
    <w:rsid w:val="0048325A"/>
    <w:rsid w:val="004916A3"/>
    <w:rsid w:val="004947D6"/>
    <w:rsid w:val="004A4A8D"/>
    <w:rsid w:val="004C3C9C"/>
    <w:rsid w:val="004D4F8C"/>
    <w:rsid w:val="004E30A6"/>
    <w:rsid w:val="004E5EF2"/>
    <w:rsid w:val="004F6FC5"/>
    <w:rsid w:val="00507819"/>
    <w:rsid w:val="00531A00"/>
    <w:rsid w:val="005608DE"/>
    <w:rsid w:val="005623AB"/>
    <w:rsid w:val="005763D4"/>
    <w:rsid w:val="00583DF3"/>
    <w:rsid w:val="00585986"/>
    <w:rsid w:val="005A12BF"/>
    <w:rsid w:val="005A2625"/>
    <w:rsid w:val="005C7223"/>
    <w:rsid w:val="005D1C38"/>
    <w:rsid w:val="005E5E73"/>
    <w:rsid w:val="005F0D89"/>
    <w:rsid w:val="00601BF7"/>
    <w:rsid w:val="006108FB"/>
    <w:rsid w:val="00647BED"/>
    <w:rsid w:val="006634DE"/>
    <w:rsid w:val="00692E83"/>
    <w:rsid w:val="00694516"/>
    <w:rsid w:val="00694FEB"/>
    <w:rsid w:val="006A1EF9"/>
    <w:rsid w:val="006B0566"/>
    <w:rsid w:val="006E4895"/>
    <w:rsid w:val="006F122A"/>
    <w:rsid w:val="00711F01"/>
    <w:rsid w:val="00723546"/>
    <w:rsid w:val="00725590"/>
    <w:rsid w:val="00753585"/>
    <w:rsid w:val="007638C9"/>
    <w:rsid w:val="00783FA1"/>
    <w:rsid w:val="007A1736"/>
    <w:rsid w:val="007B223D"/>
    <w:rsid w:val="007C439D"/>
    <w:rsid w:val="0080305C"/>
    <w:rsid w:val="008059BA"/>
    <w:rsid w:val="00820449"/>
    <w:rsid w:val="00820D74"/>
    <w:rsid w:val="008231B0"/>
    <w:rsid w:val="00834113"/>
    <w:rsid w:val="008461E3"/>
    <w:rsid w:val="0086242A"/>
    <w:rsid w:val="0087080E"/>
    <w:rsid w:val="00884F8F"/>
    <w:rsid w:val="008A7E93"/>
    <w:rsid w:val="008B1FC0"/>
    <w:rsid w:val="008D1E91"/>
    <w:rsid w:val="00901078"/>
    <w:rsid w:val="00931656"/>
    <w:rsid w:val="00933624"/>
    <w:rsid w:val="00940C9D"/>
    <w:rsid w:val="00960F34"/>
    <w:rsid w:val="00965709"/>
    <w:rsid w:val="009D78C4"/>
    <w:rsid w:val="009F3A9D"/>
    <w:rsid w:val="009F6021"/>
    <w:rsid w:val="00A126BC"/>
    <w:rsid w:val="00A132BB"/>
    <w:rsid w:val="00A23D8C"/>
    <w:rsid w:val="00A27641"/>
    <w:rsid w:val="00A35CCA"/>
    <w:rsid w:val="00A4591D"/>
    <w:rsid w:val="00A60F0C"/>
    <w:rsid w:val="00A64A39"/>
    <w:rsid w:val="00A813D8"/>
    <w:rsid w:val="00A85C3A"/>
    <w:rsid w:val="00A9083D"/>
    <w:rsid w:val="00A92F3D"/>
    <w:rsid w:val="00AB2543"/>
    <w:rsid w:val="00AC79BD"/>
    <w:rsid w:val="00AD1863"/>
    <w:rsid w:val="00AD4769"/>
    <w:rsid w:val="00AE0FED"/>
    <w:rsid w:val="00AF7134"/>
    <w:rsid w:val="00B01B9A"/>
    <w:rsid w:val="00B11AAF"/>
    <w:rsid w:val="00B4119B"/>
    <w:rsid w:val="00B54797"/>
    <w:rsid w:val="00B54B85"/>
    <w:rsid w:val="00B558FF"/>
    <w:rsid w:val="00B81261"/>
    <w:rsid w:val="00B820CC"/>
    <w:rsid w:val="00BB1C21"/>
    <w:rsid w:val="00BB4A76"/>
    <w:rsid w:val="00BD0BF6"/>
    <w:rsid w:val="00BF6D4D"/>
    <w:rsid w:val="00C05AFB"/>
    <w:rsid w:val="00C13F17"/>
    <w:rsid w:val="00C172FC"/>
    <w:rsid w:val="00C507CD"/>
    <w:rsid w:val="00C81266"/>
    <w:rsid w:val="00C970AE"/>
    <w:rsid w:val="00CB6958"/>
    <w:rsid w:val="00CC19A2"/>
    <w:rsid w:val="00D003C4"/>
    <w:rsid w:val="00D22DA9"/>
    <w:rsid w:val="00D4306D"/>
    <w:rsid w:val="00D60735"/>
    <w:rsid w:val="00D62063"/>
    <w:rsid w:val="00D95EE8"/>
    <w:rsid w:val="00DA57CD"/>
    <w:rsid w:val="00DB6BA5"/>
    <w:rsid w:val="00DD13D3"/>
    <w:rsid w:val="00DD45E1"/>
    <w:rsid w:val="00DE4B94"/>
    <w:rsid w:val="00DE503F"/>
    <w:rsid w:val="00DF158A"/>
    <w:rsid w:val="00E06EE5"/>
    <w:rsid w:val="00E075AD"/>
    <w:rsid w:val="00E22FB9"/>
    <w:rsid w:val="00E25537"/>
    <w:rsid w:val="00E42BAB"/>
    <w:rsid w:val="00E44574"/>
    <w:rsid w:val="00E465E5"/>
    <w:rsid w:val="00E65497"/>
    <w:rsid w:val="00E6582D"/>
    <w:rsid w:val="00E86614"/>
    <w:rsid w:val="00E97807"/>
    <w:rsid w:val="00EA05EE"/>
    <w:rsid w:val="00EA262A"/>
    <w:rsid w:val="00EA586E"/>
    <w:rsid w:val="00EB05D6"/>
    <w:rsid w:val="00EB4DE7"/>
    <w:rsid w:val="00EE1D0E"/>
    <w:rsid w:val="00EE6582"/>
    <w:rsid w:val="00EE7356"/>
    <w:rsid w:val="00EF7E7D"/>
    <w:rsid w:val="00F0684A"/>
    <w:rsid w:val="00F10640"/>
    <w:rsid w:val="00F2206F"/>
    <w:rsid w:val="00F40C11"/>
    <w:rsid w:val="00F91BB4"/>
    <w:rsid w:val="00F96D88"/>
    <w:rsid w:val="00FA4349"/>
    <w:rsid w:val="00FC11C2"/>
    <w:rsid w:val="00FE1100"/>
    <w:rsid w:val="05132D7E"/>
    <w:rsid w:val="0BB259E0"/>
    <w:rsid w:val="105679B3"/>
    <w:rsid w:val="38BA4143"/>
    <w:rsid w:val="3AC82BE7"/>
    <w:rsid w:val="3C2E4D4B"/>
    <w:rsid w:val="3C4055B7"/>
    <w:rsid w:val="4FF41BF9"/>
    <w:rsid w:val="531B618D"/>
    <w:rsid w:val="64516468"/>
    <w:rsid w:val="6E83445B"/>
    <w:rsid w:val="7CF014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26"/>
    <w:semiHidden/>
    <w:unhideWhenUsed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27"/>
    <w:qFormat/>
    <w:uiPriority w:val="0"/>
    <w:rPr>
      <w:rFonts w:ascii="Times New Roman" w:hAnsi="Times New Roman"/>
      <w:szCs w:val="20"/>
    </w:rPr>
  </w:style>
  <w:style w:type="paragraph" w:styleId="5">
    <w:name w:val="Body Text Indent 2"/>
    <w:basedOn w:val="1"/>
    <w:link w:val="24"/>
    <w:qFormat/>
    <w:uiPriority w:val="0"/>
    <w:pPr>
      <w:spacing w:after="160" w:line="259" w:lineRule="auto"/>
      <w:ind w:firstLine="420"/>
    </w:pPr>
    <w:rPr>
      <w:rFonts w:ascii="楷体_GB2312" w:hAnsi="宋体" w:eastAsia="楷体_GB2312"/>
      <w:kern w:val="0"/>
      <w:sz w:val="20"/>
    </w:rPr>
  </w:style>
  <w:style w:type="paragraph" w:styleId="6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</w:rPr>
  </w:style>
  <w:style w:type="paragraph" w:styleId="8">
    <w:name w:val="header"/>
    <w:basedOn w:val="1"/>
    <w:link w:val="2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lang w:val="zh-CN"/>
    </w:rPr>
  </w:style>
  <w:style w:type="paragraph" w:styleId="9">
    <w:name w:val="toc 1"/>
    <w:basedOn w:val="1"/>
    <w:next w:val="1"/>
    <w:qFormat/>
    <w:uiPriority w:val="39"/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styleId="11">
    <w:name w:val="Title"/>
    <w:basedOn w:val="1"/>
    <w:next w:val="1"/>
    <w:link w:val="21"/>
    <w:qFormat/>
    <w:uiPriority w:val="10"/>
    <w:pPr>
      <w:spacing w:after="160" w:line="259" w:lineRule="auto"/>
      <w:contextualSpacing/>
    </w:pPr>
    <w:rPr>
      <w:rFonts w:ascii="Cambria" w:hAnsi="Cambria"/>
      <w:spacing w:val="-10"/>
      <w:kern w:val="28"/>
      <w:sz w:val="56"/>
      <w:szCs w:val="56"/>
      <w:lang w:val="zh-CN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页脚 字符"/>
    <w:link w:val="7"/>
    <w:qFormat/>
    <w:uiPriority w:val="99"/>
    <w:rPr>
      <w:sz w:val="18"/>
      <w:szCs w:val="24"/>
    </w:rPr>
  </w:style>
  <w:style w:type="character" w:customStyle="1" w:styleId="19">
    <w:name w:val="页脚 Char1"/>
    <w:basedOn w:val="1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0">
    <w:name w:val="页眉 字符"/>
    <w:basedOn w:val="14"/>
    <w:link w:val="8"/>
    <w:qFormat/>
    <w:uiPriority w:val="99"/>
    <w:rPr>
      <w:rFonts w:ascii="Times New Roman" w:hAnsi="Times New Roman" w:eastAsia="宋体" w:cs="Times New Roman"/>
      <w:sz w:val="18"/>
      <w:szCs w:val="24"/>
      <w:lang w:val="zh-CN" w:eastAsia="zh-CN"/>
    </w:rPr>
  </w:style>
  <w:style w:type="character" w:customStyle="1" w:styleId="21">
    <w:name w:val="标题 字符"/>
    <w:basedOn w:val="14"/>
    <w:link w:val="11"/>
    <w:qFormat/>
    <w:uiPriority w:val="10"/>
    <w:rPr>
      <w:rFonts w:ascii="Cambria" w:hAnsi="Cambria" w:eastAsia="宋体" w:cs="Times New Roman"/>
      <w:spacing w:val="-10"/>
      <w:kern w:val="28"/>
      <w:sz w:val="56"/>
      <w:szCs w:val="56"/>
      <w:lang w:val="zh-CN" w:eastAsia="zh-CN"/>
    </w:rPr>
  </w:style>
  <w:style w:type="paragraph" w:customStyle="1" w:styleId="22">
    <w:name w:val="清單段落1"/>
    <w:basedOn w:val="1"/>
    <w:qFormat/>
    <w:uiPriority w:val="99"/>
    <w:pPr>
      <w:spacing w:after="160" w:line="259" w:lineRule="auto"/>
      <w:ind w:left="720"/>
      <w:contextualSpacing/>
    </w:pPr>
    <w:rPr>
      <w:rFonts w:ascii="Times New Roman" w:hAnsi="Times New Roman"/>
    </w:rPr>
  </w:style>
  <w:style w:type="character" w:customStyle="1" w:styleId="23">
    <w:name w:val="批注框文本 字符"/>
    <w:basedOn w:val="14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4">
    <w:name w:val="正文文本缩进 2 字符"/>
    <w:basedOn w:val="14"/>
    <w:link w:val="5"/>
    <w:qFormat/>
    <w:uiPriority w:val="0"/>
    <w:rPr>
      <w:rFonts w:ascii="楷体_GB2312" w:hAnsi="宋体" w:eastAsia="楷体_GB2312" w:cs="Times New Roman"/>
      <w:kern w:val="0"/>
      <w:sz w:val="20"/>
      <w:szCs w:val="24"/>
    </w:rPr>
  </w:style>
  <w:style w:type="paragraph" w:customStyle="1" w:styleId="2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6">
    <w:name w:val="正文文本缩进 字符"/>
    <w:basedOn w:val="14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27">
    <w:name w:val="日期 字符"/>
    <w:basedOn w:val="14"/>
    <w:link w:val="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8">
    <w:name w:val="标题 1 字符"/>
    <w:basedOn w:val="14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9">
    <w:name w:val="apple-style-span"/>
    <w:basedOn w:val="14"/>
    <w:autoRedefine/>
    <w:qFormat/>
    <w:uiPriority w:val="0"/>
  </w:style>
  <w:style w:type="character" w:customStyle="1" w:styleId="30">
    <w:name w:val="NormalCharacter"/>
    <w:autoRedefine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D9E617-4D14-4658-AE29-20702E767F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9</Pages>
  <Words>337</Words>
  <Characters>1926</Characters>
  <Lines>16</Lines>
  <Paragraphs>4</Paragraphs>
  <TotalTime>0</TotalTime>
  <ScaleCrop>false</ScaleCrop>
  <LinksUpToDate>false</LinksUpToDate>
  <CharactersWithSpaces>2259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2021-11-17T07:49:00Z</dcterms:created>
  <dc:creator>Administrator</dc:creator>
  <cp:lastModifiedBy>－－</cp:lastModifiedBy>
  <dcterms:modified xsi:type="dcterms:W3CDTF">2024-05-16T01:44:52Z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76247C88E60E46D58FA58995E24869F2</vt:lpwstr>
  </property>
</Properties>
</file>